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B697D" w14:textId="23104CCC" w:rsidR="00C619A6" w:rsidRPr="00C53F7C" w:rsidRDefault="00E40CC6" w:rsidP="00497E11">
      <w:pPr>
        <w:jc w:val="center"/>
        <w:rPr>
          <w:b/>
          <w:sz w:val="32"/>
        </w:rPr>
      </w:pPr>
      <w:r w:rsidRPr="00C53F7C">
        <w:rPr>
          <w:b/>
          <w:sz w:val="32"/>
        </w:rPr>
        <w:t xml:space="preserve">ANNEXE </w:t>
      </w:r>
      <w:r w:rsidR="00D047CA">
        <w:rPr>
          <w:b/>
          <w:sz w:val="32"/>
        </w:rPr>
        <w:t>4</w:t>
      </w:r>
      <w:bookmarkStart w:id="0" w:name="_GoBack"/>
      <w:bookmarkEnd w:id="0"/>
    </w:p>
    <w:p w14:paraId="0828D804" w14:textId="264D9009" w:rsidR="00F32E8E" w:rsidRDefault="00497E11" w:rsidP="00497E11">
      <w:pPr>
        <w:jc w:val="center"/>
        <w:rPr>
          <w:b/>
        </w:rPr>
      </w:pPr>
      <w:r w:rsidRPr="00497E11">
        <w:rPr>
          <w:b/>
        </w:rPr>
        <w:t>Fiche réflexe pour la mise en œuvre du dispositif social du militaire blessé</w:t>
      </w:r>
    </w:p>
    <w:p w14:paraId="21F3BB31" w14:textId="77777777" w:rsidR="00BD5135" w:rsidRDefault="00BD5135" w:rsidP="00497E11">
      <w:pPr>
        <w:pStyle w:val="Corpsdetexte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E6100F3" w14:textId="6C2493E1" w:rsidR="00497E11" w:rsidRPr="00B8478F" w:rsidRDefault="00497E11" w:rsidP="00101C35">
      <w:pPr>
        <w:pStyle w:val="Corpsdetext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847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1. </w:t>
      </w:r>
      <w:r w:rsidR="007E6397">
        <w:rPr>
          <w:rFonts w:asciiTheme="minorHAnsi" w:eastAsiaTheme="minorHAnsi" w:hAnsiTheme="minorHAnsi" w:cstheme="minorBidi"/>
          <w:sz w:val="22"/>
          <w:szCs w:val="22"/>
          <w:lang w:eastAsia="en-US"/>
        </w:rPr>
        <w:t>Etudier la possibilité d’i</w:t>
      </w:r>
      <w:r w:rsidRPr="00B847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ntégrer </w:t>
      </w:r>
      <w:r w:rsidR="00101C35">
        <w:rPr>
          <w:rFonts w:asciiTheme="minorHAnsi" w:eastAsiaTheme="minorHAnsi" w:hAnsiTheme="minorHAnsi" w:cstheme="minorBidi"/>
          <w:sz w:val="22"/>
          <w:szCs w:val="22"/>
          <w:lang w:eastAsia="en-US"/>
        </w:rPr>
        <w:t>une considération sociale</w:t>
      </w:r>
      <w:r w:rsidRPr="00B847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01C3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en faveur </w:t>
      </w:r>
      <w:r w:rsidR="00906FB3">
        <w:rPr>
          <w:rFonts w:asciiTheme="minorHAnsi" w:eastAsiaTheme="minorHAnsi" w:hAnsiTheme="minorHAnsi" w:cstheme="minorBidi"/>
          <w:sz w:val="22"/>
          <w:szCs w:val="22"/>
          <w:lang w:eastAsia="en-US"/>
        </w:rPr>
        <w:t>d</w:t>
      </w:r>
      <w:r w:rsidR="00101C35">
        <w:rPr>
          <w:rFonts w:asciiTheme="minorHAnsi" w:eastAsiaTheme="minorHAnsi" w:hAnsiTheme="minorHAnsi" w:cstheme="minorBidi"/>
          <w:sz w:val="22"/>
          <w:szCs w:val="22"/>
          <w:lang w:eastAsia="en-US"/>
        </w:rPr>
        <w:t>’un</w:t>
      </w:r>
      <w:r w:rsidR="00906F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militaire blessé</w:t>
      </w:r>
      <w:r w:rsidR="00101C3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8478F">
        <w:rPr>
          <w:rFonts w:asciiTheme="minorHAnsi" w:eastAsiaTheme="minorHAnsi" w:hAnsiTheme="minorHAnsi" w:cstheme="minorBidi"/>
          <w:sz w:val="22"/>
          <w:szCs w:val="22"/>
          <w:lang w:eastAsia="en-US"/>
        </w:rPr>
        <w:t>dès la programmation</w:t>
      </w:r>
    </w:p>
    <w:p w14:paraId="0A6E1BF5" w14:textId="41F3FD37" w:rsidR="00906FB3" w:rsidRPr="00B8478F" w:rsidRDefault="007E6397" w:rsidP="00BD5135">
      <w:pPr>
        <w:spacing w:before="120" w:after="0" w:line="240" w:lineRule="auto"/>
        <w:jc w:val="both"/>
      </w:pPr>
      <w:r>
        <w:t>Lors de</w:t>
      </w:r>
      <w:r w:rsidR="00497E11" w:rsidRPr="00B8478F">
        <w:t xml:space="preserve"> la programmation annuelle des marchés, les services achats des armées, directions et services identifient les projets de marchés pouvant faire l’objet de </w:t>
      </w:r>
      <w:r w:rsidR="00101C35">
        <w:t>considérations</w:t>
      </w:r>
      <w:r w:rsidR="00497E11" w:rsidRPr="00B8478F">
        <w:t xml:space="preserve"> environnementales et/ou sociales.</w:t>
      </w:r>
    </w:p>
    <w:p w14:paraId="3D3349E4" w14:textId="77777777" w:rsidR="00DF1904" w:rsidRPr="00B8478F" w:rsidRDefault="00DF1904" w:rsidP="00497E11">
      <w:pPr>
        <w:spacing w:after="0" w:line="240" w:lineRule="auto"/>
        <w:jc w:val="both"/>
        <w:rPr>
          <w:b/>
        </w:rPr>
      </w:pPr>
    </w:p>
    <w:p w14:paraId="73A67908" w14:textId="77777777" w:rsidR="00497E11" w:rsidRPr="00B8478F" w:rsidRDefault="00497E11" w:rsidP="00FB6BB5">
      <w:pPr>
        <w:pStyle w:val="Corpsdetexte"/>
        <w:numPr>
          <w:ilvl w:val="0"/>
          <w:numId w:val="6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8478F">
        <w:rPr>
          <w:rFonts w:asciiTheme="minorHAnsi" w:eastAsiaTheme="minorHAnsi" w:hAnsiTheme="minorHAnsi" w:cstheme="minorBidi"/>
          <w:sz w:val="22"/>
          <w:szCs w:val="22"/>
          <w:lang w:eastAsia="en-US"/>
        </w:rPr>
        <w:t>Quels sont les actes contractuels concernés ?</w:t>
      </w:r>
    </w:p>
    <w:p w14:paraId="547E1381" w14:textId="0D466C99" w:rsidR="003B0073" w:rsidRPr="00B8478F" w:rsidRDefault="00497E11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 xml:space="preserve">Les accords-cadres </w:t>
      </w:r>
      <w:r w:rsidR="00A32017">
        <w:t xml:space="preserve">s’exécutant par bons de commande et par </w:t>
      </w:r>
      <w:r w:rsidRPr="00B8478F">
        <w:t>marchés subséquents. </w:t>
      </w:r>
    </w:p>
    <w:p w14:paraId="03BF0F6A" w14:textId="77777777" w:rsidR="00497E11" w:rsidRPr="00B8478F" w:rsidRDefault="00497E11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>Les marchés publics.</w:t>
      </w:r>
    </w:p>
    <w:p w14:paraId="53BEF6ED" w14:textId="29739585" w:rsidR="00497E11" w:rsidRPr="00B8478F" w:rsidRDefault="00497E11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>Les marchés de défense ou de sécurité conformément à l’article R.</w:t>
      </w:r>
      <w:r w:rsidR="00101C35">
        <w:t xml:space="preserve"> </w:t>
      </w:r>
      <w:r w:rsidRPr="00B8478F">
        <w:t>2312-4 du code de la commande publique.</w:t>
      </w:r>
    </w:p>
    <w:p w14:paraId="702EF715" w14:textId="10C7D6E4" w:rsidR="00B8478F" w:rsidRDefault="00497E11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>Les marchés dont la durée est supérieure à</w:t>
      </w:r>
      <w:r w:rsidR="00A32017">
        <w:t xml:space="preserve"> </w:t>
      </w:r>
      <w:r w:rsidR="007E6397">
        <w:t>24 mois</w:t>
      </w:r>
      <w:r w:rsidR="00A32017">
        <w:t>.</w:t>
      </w:r>
      <w:r w:rsidR="00B85D66">
        <w:t xml:space="preserve"> </w:t>
      </w:r>
    </w:p>
    <w:p w14:paraId="172C93E0" w14:textId="77777777" w:rsidR="00B85D66" w:rsidRPr="00B85D66" w:rsidRDefault="00B85D66" w:rsidP="00B85D66">
      <w:pPr>
        <w:spacing w:after="0" w:line="240" w:lineRule="auto"/>
        <w:ind w:left="714"/>
        <w:jc w:val="both"/>
      </w:pPr>
    </w:p>
    <w:p w14:paraId="54C9C7A8" w14:textId="1FCD6AF7" w:rsidR="00B8478F" w:rsidRPr="00B8478F" w:rsidRDefault="00B8478F" w:rsidP="00FB6BB5">
      <w:pPr>
        <w:pStyle w:val="Corpsdetexte"/>
        <w:numPr>
          <w:ilvl w:val="0"/>
          <w:numId w:val="6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847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Dans quels cas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l’acheteur peut décider de </w:t>
      </w:r>
      <w:r w:rsidRPr="00B8478F">
        <w:rPr>
          <w:rFonts w:asciiTheme="minorHAnsi" w:eastAsiaTheme="minorHAnsi" w:hAnsiTheme="minorHAnsi" w:cstheme="minorBidi"/>
          <w:sz w:val="22"/>
          <w:szCs w:val="22"/>
          <w:lang w:eastAsia="en-US"/>
        </w:rPr>
        <w:t>ne pas intégrer de considération sociale</w:t>
      </w:r>
      <w:r w:rsidR="007E6397">
        <w:rPr>
          <w:rStyle w:val="Appelnotedebasdep"/>
          <w:rFonts w:asciiTheme="minorHAnsi" w:eastAsiaTheme="minorHAnsi" w:hAnsiTheme="minorHAnsi" w:cstheme="minorBidi"/>
          <w:sz w:val="22"/>
          <w:szCs w:val="22"/>
          <w:lang w:eastAsia="en-US"/>
        </w:rPr>
        <w:footnoteReference w:id="1"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 ?</w:t>
      </w:r>
    </w:p>
    <w:p w14:paraId="5BFD4894" w14:textId="77777777" w:rsidR="00B8478F" w:rsidRPr="00FB6BB5" w:rsidRDefault="00B8478F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>Le besoin peut être satisfait par une solution immédiatement disponible ;</w:t>
      </w:r>
    </w:p>
    <w:p w14:paraId="1ED639B9" w14:textId="77777777" w:rsidR="00B8478F" w:rsidRPr="00FB6BB5" w:rsidRDefault="00B8478F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>Une telle prise en compte n’est pas susceptible de présenter un lien suffisant avec l’objet du marché ;</w:t>
      </w:r>
    </w:p>
    <w:p w14:paraId="1B712D86" w14:textId="77777777" w:rsidR="00B8478F" w:rsidRPr="00FB6BB5" w:rsidRDefault="00B8478F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>Une telle prise en compte est de nature à restreindre la concurrence ou à rendre techniquement ou économiquement difficile l’exécution de la prestation ;</w:t>
      </w:r>
    </w:p>
    <w:p w14:paraId="5FEC33D0" w14:textId="5201EB87" w:rsidR="00497E11" w:rsidRPr="00FB6BB5" w:rsidRDefault="00B8478F" w:rsidP="00FB6BB5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993" w:hanging="284"/>
        <w:jc w:val="both"/>
      </w:pPr>
      <w:r w:rsidRPr="00B8478F">
        <w:t xml:space="preserve">Lorsqu’il s’agit d’un marché d’une durée inférieure à </w:t>
      </w:r>
      <w:r w:rsidR="00101C35" w:rsidRPr="00FB6BB5">
        <w:t>6</w:t>
      </w:r>
      <w:r w:rsidR="00A32017">
        <w:t xml:space="preserve"> mois.</w:t>
      </w:r>
    </w:p>
    <w:p w14:paraId="038C8D01" w14:textId="77777777" w:rsidR="00B8478F" w:rsidRPr="00B8478F" w:rsidRDefault="00B8478F" w:rsidP="00BD5135">
      <w:pPr>
        <w:pStyle w:val="Corpsdetexte"/>
        <w:spacing w:before="120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B8478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Dans ce cas, pour les marchés supérieurs aux seuils européens,</w:t>
      </w:r>
      <w:r w:rsid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l’acheteur doit obligatoirement</w:t>
      </w:r>
      <w:r w:rsidRPr="00B8478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justifie</w:t>
      </w:r>
      <w:r w:rsid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r</w:t>
      </w:r>
      <w:r w:rsidRPr="00B8478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son</w:t>
      </w:r>
      <w:r w:rsidRPr="00B8478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choix dans la fiche de démarche contractuelle et dans le rapport de présentation. </w:t>
      </w:r>
    </w:p>
    <w:p w14:paraId="420A1C0E" w14:textId="77777777" w:rsidR="00BD5135" w:rsidRDefault="00BD5135" w:rsidP="002D7455">
      <w:pPr>
        <w:pStyle w:val="Corpsdetexte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8E323DF" w14:textId="77777777" w:rsidR="00497E11" w:rsidRPr="002D7455" w:rsidRDefault="00497E11" w:rsidP="002D7455">
      <w:pPr>
        <w:pStyle w:val="Corpsdetexte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D745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2. </w:t>
      </w:r>
      <w:r w:rsidR="002D745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Rédiger </w:t>
      </w:r>
      <w:r w:rsidR="00B8478F" w:rsidRPr="002D7455">
        <w:rPr>
          <w:rFonts w:asciiTheme="minorHAnsi" w:eastAsiaTheme="minorHAnsi" w:hAnsiTheme="minorHAnsi" w:cstheme="minorBidi"/>
          <w:sz w:val="22"/>
          <w:szCs w:val="22"/>
          <w:lang w:eastAsia="en-US"/>
        </w:rPr>
        <w:t>une considération sociale relative au dispositif du militaire blessé</w:t>
      </w:r>
    </w:p>
    <w:p w14:paraId="5CE3F33C" w14:textId="3B0BB677" w:rsidR="000E6CC4" w:rsidRDefault="00906FB3" w:rsidP="00BD5135">
      <w:pPr>
        <w:pStyle w:val="Corpsdetexte"/>
        <w:spacing w:before="120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En application de l’article L.</w:t>
      </w:r>
      <w:r w:rsidR="007E63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2112-2 du code de la commande publique, 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la </w:t>
      </w: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considération social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e </w:t>
      </w: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relati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ve </w:t>
      </w: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à l’accompagnement d’un militaire blessé, intitulé</w:t>
      </w:r>
      <w:r w:rsidR="00682C8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e</w:t>
      </w: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« dispositif </w:t>
      </w:r>
      <w:r w:rsidR="00101C3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social </w:t>
      </w: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du 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militaire blessé</w:t>
      </w:r>
      <w:r w:rsidRPr="00F83D2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 »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est une condition d’exécution du marché.</w:t>
      </w:r>
    </w:p>
    <w:p w14:paraId="2FF71ABE" w14:textId="56404F13" w:rsidR="00DF1904" w:rsidRPr="000E6CC4" w:rsidRDefault="000E6CC4" w:rsidP="000E6CC4">
      <w:pPr>
        <w:spacing w:before="120" w:after="0"/>
        <w:jc w:val="both"/>
      </w:pPr>
      <w:r>
        <w:t>L’intégration du dispositif social du militaire blessé résulte d’une étude préalable menée en parallèle de celle relative à l’éligibilité du marché à la clause sociale</w:t>
      </w:r>
      <w:r w:rsidR="00BA7876" w:rsidRPr="00BA7876">
        <w:t xml:space="preserve"> </w:t>
      </w:r>
      <w:r w:rsidR="00BA7876">
        <w:t>d’insertion</w:t>
      </w:r>
      <w:r>
        <w:t>. En fonction des résultats de c</w:t>
      </w:r>
      <w:r w:rsidR="00682C80">
        <w:t>es études, les 2 dispositifs pourrai</w:t>
      </w:r>
      <w:r>
        <w:t xml:space="preserve">ent être intégrés dans un même marché. En effet, ils poursuivent des objectifs différents </w:t>
      </w:r>
      <w:r w:rsidRPr="000E6CC4">
        <w:t>: l’élaboration ou la confirmation d’un projet professionnel pour un militaire blessé et le retour à l’emploi des personnes qui en sont éloignées pour la clause sociale</w:t>
      </w:r>
      <w:r w:rsidR="00FB3F7B" w:rsidRPr="00FB3F7B">
        <w:t xml:space="preserve"> </w:t>
      </w:r>
      <w:r w:rsidR="00FB3F7B" w:rsidRPr="000E6CC4">
        <w:t>d’insertion</w:t>
      </w:r>
      <w:r w:rsidRPr="000E6CC4">
        <w:t>.</w:t>
      </w:r>
    </w:p>
    <w:p w14:paraId="35C9AB9D" w14:textId="5C9B68F5" w:rsidR="00497E11" w:rsidRPr="00906FB3" w:rsidRDefault="00906FB3" w:rsidP="00BD5135">
      <w:pPr>
        <w:pStyle w:val="Corpsdetexte"/>
        <w:spacing w:before="120"/>
        <w:ind w:left="6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Pour intégrer une considération sociale relative au dispositif du militaire blessé, l</w:t>
      </w:r>
      <w:r w:rsidR="00BD513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’acheteur </w:t>
      </w:r>
      <w:r w:rsidRP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l</w:t>
      </w:r>
      <w:r w:rsidR="00BD513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’indique</w:t>
      </w:r>
      <w:r w:rsidRP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dans les documents</w:t>
      </w:r>
      <w:r w:rsidR="007E63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de la consultation</w:t>
      </w:r>
      <w:r w:rsidRP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suivants :</w:t>
      </w:r>
    </w:p>
    <w:p w14:paraId="14C96F8B" w14:textId="77777777" w:rsidR="00906FB3" w:rsidRPr="00906FB3" w:rsidRDefault="00906FB3" w:rsidP="00E5427C">
      <w:pPr>
        <w:pStyle w:val="Corpsdetexte"/>
        <w:numPr>
          <w:ilvl w:val="0"/>
          <w:numId w:val="2"/>
        </w:numPr>
        <w:spacing w:before="120"/>
        <w:ind w:left="714" w:hanging="357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L’avis d’appel public à la concurrence</w:t>
      </w:r>
      <w:r w:rsidR="00E5427C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 ;</w:t>
      </w:r>
    </w:p>
    <w:p w14:paraId="0EC8E23E" w14:textId="77777777" w:rsidR="00906FB3" w:rsidRPr="00906FB3" w:rsidRDefault="00906FB3" w:rsidP="00E5427C">
      <w:pPr>
        <w:pStyle w:val="Corpsdetexte"/>
        <w:numPr>
          <w:ilvl w:val="0"/>
          <w:numId w:val="2"/>
        </w:numPr>
        <w:spacing w:before="120"/>
        <w:ind w:left="714" w:hanging="357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Le règlement de la consultation</w:t>
      </w:r>
      <w:r w:rsidR="00E5427C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 ;</w:t>
      </w:r>
    </w:p>
    <w:p w14:paraId="4B9C2795" w14:textId="707C6DCA" w:rsidR="00906FB3" w:rsidRPr="00906FB3" w:rsidRDefault="00906FB3" w:rsidP="00E5427C">
      <w:pPr>
        <w:pStyle w:val="Corpsdetexte"/>
        <w:numPr>
          <w:ilvl w:val="0"/>
          <w:numId w:val="2"/>
        </w:numPr>
        <w:spacing w:before="120"/>
        <w:ind w:left="714" w:hanging="357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906FB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lastRenderedPageBreak/>
        <w:t>Le cahier des clauses administratives particulières</w:t>
      </w:r>
      <w:r w:rsidR="003D1F3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(y compris si le marché est passé sans publicité ni mise en concurrence).</w:t>
      </w:r>
    </w:p>
    <w:p w14:paraId="72516E21" w14:textId="6141494E" w:rsidR="000E6CC4" w:rsidRDefault="00906FB3" w:rsidP="00B85D66">
      <w:pPr>
        <w:pStyle w:val="Corpsdetexte"/>
        <w:spacing w:before="120"/>
      </w:pPr>
      <w:r w:rsidRPr="002D745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Il est fortement déconseillé d’accompagner cette condition d’exécution d’un critère d’attribution</w:t>
      </w:r>
      <w:r w:rsidR="007C299F" w:rsidRPr="007C299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7C299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car </w:t>
      </w:r>
      <w:r w:rsidR="00DF190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ce dernier ne </w:t>
      </w:r>
      <w:r w:rsidR="007C299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permet</w:t>
      </w:r>
      <w:r w:rsidR="00DF190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tra</w:t>
      </w:r>
      <w:r w:rsidR="00571EB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it</w:t>
      </w:r>
      <w:r w:rsidR="00BD513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7C299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pas d’obtenir une offre plus performante en la matière.</w:t>
      </w:r>
      <w:r w:rsidR="002D745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En effet, le dispositif est mis en œuvre à la demande de Défense mobilité</w:t>
      </w:r>
      <w:r w:rsidR="00A32017" w:rsidRPr="00B85D66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lorsqu’un militaire blessé est intéressé par </w:t>
      </w:r>
      <w:r w:rsidR="00A3201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un des domaines d’activité proposés par le titulaire</w:t>
      </w:r>
      <w:r w:rsidR="002D745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. En cas d’absence de besoin pendant </w:t>
      </w:r>
      <w:r w:rsidR="007C299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toute </w:t>
      </w:r>
      <w:r w:rsidR="002D745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la durée de validité du marché</w:t>
      </w:r>
      <w:r w:rsidR="007C299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 le titulaire est libéré de son engagement et aucune pénalité ne peut lui être appliquée. </w:t>
      </w:r>
    </w:p>
    <w:p w14:paraId="20A60D74" w14:textId="35184503" w:rsidR="007E6397" w:rsidRDefault="007E6397" w:rsidP="00FB6BB5">
      <w:pPr>
        <w:pStyle w:val="Corpsdetexte"/>
      </w:pPr>
    </w:p>
    <w:p w14:paraId="7F1C4533" w14:textId="3BC6AF34" w:rsidR="00473897" w:rsidRPr="00473897" w:rsidRDefault="00473897" w:rsidP="00473897">
      <w:pPr>
        <w:pStyle w:val="Corpsdetexte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4738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Concernant le lien du stage avec la prestation objet du marché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 en application des dispositions de l’article L. 2112-3 du CCP, une condition d’exécution qui </w:t>
      </w:r>
      <w:r w:rsidRPr="004738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concern</w:t>
      </w:r>
      <w:r w:rsidR="00A25F5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e</w:t>
      </w:r>
      <w:r w:rsidRPr="004738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n’importe quel stade du cycle de vie des travaux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 </w:t>
      </w:r>
      <w:r w:rsidRPr="004738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fournitures ou services y compris les facteurs intervenant dans le processus spécifique de production, de fourniture, de commercialisation</w:t>
      </w:r>
      <w:r w:rsidR="007833C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et ses conditions, de transport</w:t>
      </w:r>
      <w:r w:rsidRPr="004738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 </w:t>
      </w:r>
      <w:r w:rsidR="007833C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</w:t>
      </w:r>
      <w:r w:rsidRPr="004738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'utilisation et</w:t>
      </w:r>
      <w:r w:rsidR="007833C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de</w:t>
      </w:r>
      <w:r w:rsidRPr="004738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maintenance </w:t>
      </w:r>
      <w:r w:rsidR="007833C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est réputée liée à l’objet du marché. Par conséquent, le lien entre les domaines d’activités du stage et l’objet du marché peut être apprécié de façon large.</w:t>
      </w:r>
    </w:p>
    <w:p w14:paraId="7D5E41CE" w14:textId="77777777" w:rsidR="00473897" w:rsidRDefault="00473897" w:rsidP="00FB6BB5">
      <w:pPr>
        <w:pStyle w:val="Corpsdetexte"/>
      </w:pPr>
    </w:p>
    <w:p w14:paraId="38FADDC7" w14:textId="2564DFC8" w:rsidR="00C62D95" w:rsidRPr="00BD5135" w:rsidRDefault="00BD5135" w:rsidP="00BD5135">
      <w:pPr>
        <w:pStyle w:val="Corpsdetexte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C62D95" w:rsidRPr="00BD5135">
        <w:rPr>
          <w:rFonts w:asciiTheme="minorHAnsi" w:eastAsiaTheme="minorHAnsi" w:hAnsiTheme="minorHAnsi" w:cstheme="minorBidi"/>
          <w:sz w:val="22"/>
          <w:szCs w:val="22"/>
          <w:lang w:eastAsia="en-US"/>
        </w:rPr>
        <w:t>. Intervention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</w:t>
      </w:r>
      <w:r w:rsidR="007505D1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 w:rsidR="00C62D95" w:rsidRPr="00BD513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Défense Mobilité</w:t>
      </w:r>
    </w:p>
    <w:p w14:paraId="0B1AE374" w14:textId="33AE73F3" w:rsidR="00C62D95" w:rsidRDefault="00C62D95" w:rsidP="00C62D95">
      <w:pPr>
        <w:pStyle w:val="Corpsdetexte"/>
        <w:spacing w:before="120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En amont de la passation du marché, en cas de </w:t>
      </w:r>
      <w:r w:rsidR="00BD513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difficultés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éventuelles, l’acheteur peut</w:t>
      </w:r>
      <w:r w:rsidRPr="007C299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solliciter le référent ministériel </w:t>
      </w:r>
      <w:r w:rsidR="007E6397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des 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achats responsables à l’adresse suivante :</w:t>
      </w:r>
    </w:p>
    <w:p w14:paraId="2194898C" w14:textId="77777777" w:rsidR="00C62D95" w:rsidRDefault="007D3957" w:rsidP="00663725">
      <w:pPr>
        <w:pStyle w:val="Corpsdetexte"/>
        <w:spacing w:before="120"/>
        <w:jc w:val="center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hyperlink r:id="rId7" w:history="1">
        <w:r w:rsidR="00C62D95" w:rsidRPr="001F6755">
          <w:rPr>
            <w:rStyle w:val="Lienhypertexte"/>
            <w:rFonts w:asciiTheme="minorHAnsi" w:eastAsiaTheme="minorHAnsi" w:hAnsiTheme="minorHAnsi" w:cstheme="minorBidi"/>
            <w:b w:val="0"/>
            <w:sz w:val="22"/>
            <w:szCs w:val="22"/>
            <w:lang w:eastAsia="en-US"/>
          </w:rPr>
          <w:t>sga-daf-ma-achats-responsables.contact.fct@intradef.gouv.fr</w:t>
        </w:r>
      </w:hyperlink>
    </w:p>
    <w:p w14:paraId="5A6D805F" w14:textId="6F8921F1" w:rsidR="00571EB0" w:rsidRDefault="00C62D95" w:rsidP="00047D31">
      <w:pPr>
        <w:spacing w:before="120" w:after="120"/>
        <w:jc w:val="both"/>
      </w:pPr>
      <w:r w:rsidRPr="00C62D95">
        <w:t>Après notification</w:t>
      </w:r>
      <w:r>
        <w:rPr>
          <w:b/>
        </w:rPr>
        <w:t xml:space="preserve"> </w:t>
      </w:r>
      <w:r>
        <w:t>du marché,</w:t>
      </w:r>
      <w:r w:rsidR="00047D31">
        <w:t xml:space="preserve"> </w:t>
      </w:r>
      <w:r>
        <w:t xml:space="preserve">l’acheteur </w:t>
      </w:r>
      <w:r w:rsidR="00BD5135">
        <w:t xml:space="preserve">adresse </w:t>
      </w:r>
      <w:r>
        <w:t>les éléments transmis par le titulaire</w:t>
      </w:r>
      <w:r w:rsidR="00571EB0">
        <w:t>,</w:t>
      </w:r>
      <w:r>
        <w:t xml:space="preserve"> accompagné</w:t>
      </w:r>
      <w:r w:rsidR="00BD5135">
        <w:t>s</w:t>
      </w:r>
      <w:r>
        <w:t xml:space="preserve"> des informations </w:t>
      </w:r>
      <w:r w:rsidR="00571EB0">
        <w:t>relatives a</w:t>
      </w:r>
      <w:r w:rsidR="00BD5135">
        <w:t>u marché</w:t>
      </w:r>
      <w:r w:rsidR="00571EB0">
        <w:t>,</w:t>
      </w:r>
      <w:r w:rsidR="00BD5135">
        <w:t xml:space="preserve"> </w:t>
      </w:r>
      <w:r>
        <w:t>à Défense mobilité</w:t>
      </w:r>
      <w:r w:rsidR="00571EB0">
        <w:t> :</w:t>
      </w:r>
    </w:p>
    <w:p w14:paraId="35E2A56A" w14:textId="54EBB2BF" w:rsidR="00C62D95" w:rsidRDefault="007D3957" w:rsidP="00663725">
      <w:pPr>
        <w:spacing w:before="120" w:after="120"/>
        <w:jc w:val="center"/>
      </w:pPr>
      <w:hyperlink r:id="rId8" w:history="1">
        <w:r w:rsidR="00C62D95" w:rsidRPr="00B85D66">
          <w:rPr>
            <w:rStyle w:val="Lienhypertexte"/>
          </w:rPr>
          <w:t>amelie.denis@intradef.gouv.fr</w:t>
        </w:r>
      </w:hyperlink>
    </w:p>
    <w:p w14:paraId="71351F8D" w14:textId="5D3A817C" w:rsidR="00B85D66" w:rsidRDefault="007D3957" w:rsidP="00047D31">
      <w:pPr>
        <w:spacing w:before="120" w:after="120"/>
        <w:ind w:left="851"/>
        <w:jc w:val="center"/>
      </w:pPr>
      <w:hyperlink r:id="rId9" w:history="1">
        <w:r w:rsidR="00B85D66" w:rsidRPr="00B27C1B">
          <w:rPr>
            <w:rStyle w:val="Lienhypertexte"/>
          </w:rPr>
          <w:t>christophe.larcheron@intradef.gouv.fr</w:t>
        </w:r>
      </w:hyperlink>
    </w:p>
    <w:p w14:paraId="52F0925F" w14:textId="77777777" w:rsidR="00BD5135" w:rsidRDefault="00BD5135" w:rsidP="00047D31">
      <w:pPr>
        <w:pStyle w:val="Paragraphedeliste"/>
        <w:numPr>
          <w:ilvl w:val="0"/>
          <w:numId w:val="3"/>
        </w:numPr>
        <w:spacing w:before="120" w:after="0"/>
        <w:ind w:left="851" w:hanging="357"/>
        <w:contextualSpacing w:val="0"/>
        <w:jc w:val="both"/>
      </w:pPr>
      <w:r>
        <w:t>la localisation des sites concernés par l’exécution du marché (département et commune) ;</w:t>
      </w:r>
    </w:p>
    <w:p w14:paraId="722C2F8F" w14:textId="77777777" w:rsidR="00BD5135" w:rsidRDefault="00BD5135" w:rsidP="00047D31">
      <w:pPr>
        <w:pStyle w:val="Paragraphedeliste"/>
        <w:numPr>
          <w:ilvl w:val="0"/>
          <w:numId w:val="3"/>
        </w:numPr>
        <w:spacing w:before="120" w:after="0"/>
        <w:ind w:left="851" w:hanging="357"/>
        <w:contextualSpacing w:val="0"/>
        <w:jc w:val="both"/>
      </w:pPr>
      <w:r>
        <w:t>l</w:t>
      </w:r>
      <w:r w:rsidR="00DF1904">
        <w:t xml:space="preserve">eur </w:t>
      </w:r>
      <w:r>
        <w:t>accessibilité en transport en commun (oui / non) ;</w:t>
      </w:r>
    </w:p>
    <w:p w14:paraId="2429741E" w14:textId="77777777" w:rsidR="00BD5135" w:rsidRDefault="00DF1904" w:rsidP="00047D31">
      <w:pPr>
        <w:pStyle w:val="Paragraphedeliste"/>
        <w:numPr>
          <w:ilvl w:val="0"/>
          <w:numId w:val="3"/>
        </w:numPr>
        <w:spacing w:before="120" w:after="0"/>
        <w:ind w:left="851" w:hanging="357"/>
        <w:contextualSpacing w:val="0"/>
        <w:jc w:val="both"/>
      </w:pPr>
      <w:r>
        <w:t>le</w:t>
      </w:r>
      <w:r w:rsidR="00BD5135">
        <w:t>s domaines d’activités proposés par le titulaire pour la réalisation d’un stage ;</w:t>
      </w:r>
    </w:p>
    <w:p w14:paraId="65585D6A" w14:textId="77777777" w:rsidR="00BD5135" w:rsidRDefault="00BD5135" w:rsidP="00047D31">
      <w:pPr>
        <w:pStyle w:val="Paragraphedeliste"/>
        <w:numPr>
          <w:ilvl w:val="0"/>
          <w:numId w:val="3"/>
        </w:numPr>
        <w:spacing w:before="120" w:after="0"/>
        <w:ind w:left="851" w:hanging="357"/>
        <w:contextualSpacing w:val="0"/>
        <w:jc w:val="both"/>
      </w:pPr>
      <w:r>
        <w:t>les coordonnées du référent entreprise qui est l’interlocuteur de l’Administration (</w:t>
      </w:r>
      <w:r w:rsidR="00DF1904">
        <w:t>a</w:t>
      </w:r>
      <w:r>
        <w:t>cheteur et Défense Mobilité) e</w:t>
      </w:r>
      <w:r w:rsidR="00E71826">
        <w:t xml:space="preserve">t qui sera chargé du suivi du dispositif </w:t>
      </w:r>
      <w:r>
        <w:t>;</w:t>
      </w:r>
    </w:p>
    <w:p w14:paraId="0A04A665" w14:textId="77777777" w:rsidR="00C62D95" w:rsidRPr="001C6CA1" w:rsidRDefault="00DF1904" w:rsidP="00047D31">
      <w:pPr>
        <w:pStyle w:val="Paragraphedeliste"/>
        <w:numPr>
          <w:ilvl w:val="0"/>
          <w:numId w:val="3"/>
        </w:numPr>
        <w:spacing w:before="120" w:after="0"/>
        <w:ind w:left="851"/>
        <w:contextualSpacing w:val="0"/>
        <w:jc w:val="both"/>
      </w:pPr>
      <w:r>
        <w:t>le n</w:t>
      </w:r>
      <w:r w:rsidR="00C62D95" w:rsidRPr="001C6CA1">
        <w:t>uméro du marché</w:t>
      </w:r>
      <w:r w:rsidR="00C62D95">
        <w:t> ;</w:t>
      </w:r>
    </w:p>
    <w:p w14:paraId="6F701FF8" w14:textId="77777777" w:rsidR="00C62D95" w:rsidRPr="001C6CA1" w:rsidRDefault="00DF1904" w:rsidP="007505D1">
      <w:pPr>
        <w:pStyle w:val="Paragraphedeliste"/>
        <w:numPr>
          <w:ilvl w:val="0"/>
          <w:numId w:val="7"/>
        </w:numPr>
        <w:tabs>
          <w:tab w:val="left" w:pos="1134"/>
        </w:tabs>
        <w:spacing w:before="120" w:after="0"/>
        <w:ind w:firstLine="131"/>
        <w:contextualSpacing w:val="0"/>
        <w:jc w:val="both"/>
      </w:pPr>
      <w:r>
        <w:t>sa d</w:t>
      </w:r>
      <w:r w:rsidR="00C62D95" w:rsidRPr="001C6CA1">
        <w:t>ate de notification</w:t>
      </w:r>
      <w:r w:rsidR="00C62D95">
        <w:t> ;</w:t>
      </w:r>
    </w:p>
    <w:p w14:paraId="3B875E89" w14:textId="77777777" w:rsidR="00C62D95" w:rsidRPr="00BD5135" w:rsidRDefault="00DF1904" w:rsidP="007505D1">
      <w:pPr>
        <w:pStyle w:val="Paragraphedeliste"/>
        <w:numPr>
          <w:ilvl w:val="0"/>
          <w:numId w:val="7"/>
        </w:numPr>
        <w:tabs>
          <w:tab w:val="left" w:pos="1134"/>
        </w:tabs>
        <w:spacing w:before="120" w:after="0"/>
        <w:ind w:firstLine="131"/>
        <w:contextualSpacing w:val="0"/>
        <w:jc w:val="both"/>
      </w:pPr>
      <w:r>
        <w:t>sa d</w:t>
      </w:r>
      <w:r w:rsidR="00C62D95" w:rsidRPr="001C6CA1">
        <w:t xml:space="preserve">urée </w:t>
      </w:r>
      <w:r>
        <w:t xml:space="preserve">d’exécution </w:t>
      </w:r>
      <w:r w:rsidR="00C62D95">
        <w:t>et date d’échéance.</w:t>
      </w:r>
    </w:p>
    <w:p w14:paraId="41049B07" w14:textId="77777777" w:rsidR="007505D1" w:rsidRPr="007505D1" w:rsidRDefault="007505D1" w:rsidP="007505D1">
      <w:pPr>
        <w:pStyle w:val="Corpsdetexte"/>
        <w:spacing w:before="120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Dans le cadre de l’exécution du présent marché, Défense mobilité a notamment pour missions :</w:t>
      </w:r>
    </w:p>
    <w:p w14:paraId="74B5EA9A" w14:textId="65277313" w:rsidR="007505D1" w:rsidRDefault="007505D1" w:rsidP="007505D1">
      <w:pPr>
        <w:pStyle w:val="Corpsdetexte"/>
        <w:spacing w:before="120"/>
        <w:ind w:left="851" w:hanging="284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-</w:t>
      </w: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ab/>
        <w:t>d’accompagner le titulaire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 :</w:t>
      </w:r>
    </w:p>
    <w:p w14:paraId="68BC3C46" w14:textId="6A4E6675" w:rsidR="007505D1" w:rsidRPr="007505D1" w:rsidRDefault="007505D1" w:rsidP="007505D1">
      <w:pPr>
        <w:pStyle w:val="Corpsdetexte"/>
        <w:numPr>
          <w:ilvl w:val="0"/>
          <w:numId w:val="8"/>
        </w:numPr>
        <w:spacing w:before="120"/>
        <w:ind w:left="1134" w:hanging="283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dans l’expression des offres de stage au regard des caractéristiques de l’entreprise ;</w:t>
      </w:r>
    </w:p>
    <w:p w14:paraId="18613661" w14:textId="5CBD77C2" w:rsidR="007505D1" w:rsidRPr="007505D1" w:rsidRDefault="007505D1" w:rsidP="007505D1">
      <w:pPr>
        <w:pStyle w:val="Corpsdetexte"/>
        <w:numPr>
          <w:ilvl w:val="0"/>
          <w:numId w:val="8"/>
        </w:numPr>
        <w:spacing w:before="120"/>
        <w:ind w:left="1134" w:hanging="283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de lui proposer les modalités les plus appropriées de mise en œuvre de cette disposition sociale ;</w:t>
      </w:r>
    </w:p>
    <w:p w14:paraId="646FDEC2" w14:textId="6BA844D6" w:rsidR="007505D1" w:rsidRPr="007505D1" w:rsidRDefault="007505D1" w:rsidP="007505D1">
      <w:pPr>
        <w:pStyle w:val="Corpsdetexte"/>
        <w:numPr>
          <w:ilvl w:val="0"/>
          <w:numId w:val="8"/>
        </w:numPr>
        <w:spacing w:before="120"/>
        <w:ind w:left="1134" w:hanging="283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d’identifier et de lui proposer les profils du ou des militaires intéressés par les domaines d’activités proposés par le titulaire ;</w:t>
      </w:r>
    </w:p>
    <w:p w14:paraId="32C1A92B" w14:textId="4B4CC526" w:rsidR="007505D1" w:rsidRPr="007505D1" w:rsidRDefault="007505D1" w:rsidP="007505D1">
      <w:pPr>
        <w:pStyle w:val="Corpsdetexte"/>
        <w:numPr>
          <w:ilvl w:val="0"/>
          <w:numId w:val="8"/>
        </w:numPr>
        <w:spacing w:before="120"/>
        <w:ind w:left="1134" w:hanging="283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de s’assurer de la bonne exécution du stage confo</w:t>
      </w:r>
      <w:r w:rsidR="00381A3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rmément à la convention signée ;</w:t>
      </w:r>
    </w:p>
    <w:p w14:paraId="21E36940" w14:textId="1DB4CCA4" w:rsidR="007505D1" w:rsidRDefault="007505D1" w:rsidP="007505D1">
      <w:pPr>
        <w:pStyle w:val="Corpsdetexte"/>
        <w:spacing w:before="120"/>
        <w:ind w:left="851" w:hanging="284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-</w:t>
      </w: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ab/>
        <w:t>d’informer l’acheteur</w:t>
      </w:r>
      <w:r w:rsidR="00CF057A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 :</w:t>
      </w:r>
    </w:p>
    <w:p w14:paraId="6AC23983" w14:textId="037DC8B7" w:rsidR="007505D1" w:rsidRDefault="007505D1" w:rsidP="007505D1">
      <w:pPr>
        <w:pStyle w:val="Corpsdetexte"/>
        <w:numPr>
          <w:ilvl w:val="0"/>
          <w:numId w:val="9"/>
        </w:numPr>
        <w:spacing w:before="120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lors de la signature d’une convention de stage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 ;</w:t>
      </w:r>
    </w:p>
    <w:p w14:paraId="6A198DCD" w14:textId="139AD6A9" w:rsidR="007505D1" w:rsidRDefault="007505D1" w:rsidP="007505D1">
      <w:pPr>
        <w:pStyle w:val="Corpsdetexte"/>
        <w:numPr>
          <w:ilvl w:val="0"/>
          <w:numId w:val="9"/>
        </w:numPr>
        <w:spacing w:before="120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de lui rendre compte de toute difficulté rencontrée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 ;</w:t>
      </w:r>
    </w:p>
    <w:p w14:paraId="5A382688" w14:textId="0A012C9F" w:rsidR="00807210" w:rsidRDefault="007505D1" w:rsidP="007505D1">
      <w:pPr>
        <w:pStyle w:val="Corpsdetexte"/>
        <w:numPr>
          <w:ilvl w:val="0"/>
          <w:numId w:val="9"/>
        </w:numPr>
        <w:spacing w:before="120"/>
        <w:rPr>
          <w:rFonts w:ascii="Arial" w:hAnsi="Arial" w:cs="Arial"/>
          <w:b w:val="0"/>
          <w:bCs/>
          <w:sz w:val="20"/>
        </w:rPr>
      </w:pPr>
      <w:r w:rsidRPr="007505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de lui adresser un bilan annuel qualitatif de ces stages. Ce bilan est également transmis au titulaire.</w:t>
      </w:r>
    </w:p>
    <w:p w14:paraId="7AD50715" w14:textId="77777777" w:rsidR="00C62D95" w:rsidRDefault="00C62D95" w:rsidP="00497E11">
      <w:pPr>
        <w:pStyle w:val="Corpsdetexte"/>
        <w:rPr>
          <w:rFonts w:ascii="Arial" w:hAnsi="Arial" w:cs="Arial"/>
          <w:b w:val="0"/>
          <w:bCs/>
          <w:sz w:val="20"/>
        </w:rPr>
      </w:pPr>
    </w:p>
    <w:p w14:paraId="372B1C0E" w14:textId="77777777" w:rsidR="00497E11" w:rsidRPr="007C299F" w:rsidRDefault="00BD5135" w:rsidP="007C299F">
      <w:pPr>
        <w:pStyle w:val="Corpsdetexte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4</w:t>
      </w:r>
      <w:r w:rsidR="00497E11" w:rsidRPr="007C299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r w:rsidR="007C299F">
        <w:rPr>
          <w:rFonts w:asciiTheme="minorHAnsi" w:eastAsiaTheme="minorHAnsi" w:hAnsiTheme="minorHAnsi" w:cstheme="minorBidi"/>
          <w:sz w:val="22"/>
          <w:szCs w:val="22"/>
          <w:lang w:eastAsia="en-US"/>
        </w:rPr>
        <w:t>Saisie du dispositif dans les SI</w:t>
      </w:r>
      <w:r w:rsidR="00497E11" w:rsidRPr="007C299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ALPHA et PLACE</w:t>
      </w:r>
    </w:p>
    <w:p w14:paraId="0BE0071A" w14:textId="77777777" w:rsidR="00497E11" w:rsidRPr="00DF1904" w:rsidRDefault="00497E11" w:rsidP="007C299F">
      <w:pPr>
        <w:pStyle w:val="Corpsdetexte"/>
        <w:jc w:val="left"/>
        <w:rPr>
          <w:rFonts w:asciiTheme="minorHAnsi" w:eastAsiaTheme="minorHAnsi" w:hAnsiTheme="minorHAnsi" w:cstheme="minorBidi"/>
          <w:sz w:val="12"/>
          <w:szCs w:val="12"/>
          <w:lang w:eastAsia="en-US"/>
        </w:rPr>
      </w:pPr>
    </w:p>
    <w:p w14:paraId="2C7D24E6" w14:textId="77777777" w:rsidR="00E5427C" w:rsidRPr="00C62D95" w:rsidRDefault="00E5427C" w:rsidP="00E5427C">
      <w:pPr>
        <w:jc w:val="both"/>
        <w:rPr>
          <w:u w:val="single"/>
        </w:rPr>
      </w:pPr>
      <w:r w:rsidRPr="00C62D95">
        <w:rPr>
          <w:u w:val="single"/>
        </w:rPr>
        <w:t>Dans le SI PLACE</w:t>
      </w:r>
    </w:p>
    <w:p w14:paraId="57FD44B9" w14:textId="20C72356" w:rsidR="007505D1" w:rsidRDefault="00E5427C" w:rsidP="00E5427C">
      <w:pPr>
        <w:spacing w:before="120" w:after="0"/>
        <w:jc w:val="both"/>
      </w:pPr>
      <w:r w:rsidRPr="00E5427C">
        <w:t xml:space="preserve">La publication des marchés sur PLACE est conditionnée par le renseignement obligatoire par l’acheteur du volet « achat responsable » du formulaire de création d’une consultation. Parmi les nombreux champs à renseigner obligatoirement, figurent les considérations sociales et environnementales. </w:t>
      </w:r>
    </w:p>
    <w:p w14:paraId="2A425DC0" w14:textId="77777777" w:rsidR="00E5427C" w:rsidRDefault="00E5427C" w:rsidP="00E5427C">
      <w:pPr>
        <w:spacing w:before="120" w:after="0"/>
        <w:jc w:val="both"/>
      </w:pPr>
      <w:r>
        <w:t>Lors de l’étape « création de la consultation », l’acheteur coche « oui » au niveau du champ considération sociale :</w:t>
      </w:r>
    </w:p>
    <w:p w14:paraId="4F1361D8" w14:textId="77777777" w:rsidR="00E5427C" w:rsidRDefault="00E5427C" w:rsidP="00E5427C">
      <w:pPr>
        <w:spacing w:before="120" w:after="0"/>
        <w:jc w:val="both"/>
      </w:pPr>
      <w:r>
        <w:t>Considération(s) sociale(s)*</w:t>
      </w:r>
      <w:r>
        <w:tab/>
      </w:r>
      <w:sdt>
        <w:sdtPr>
          <w:id w:val="11452378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2D95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Oui</w:t>
      </w:r>
      <w:r>
        <w:tab/>
      </w:r>
      <w:r>
        <w:rPr>
          <w:rFonts w:ascii="Segoe UI Symbol" w:hAnsi="Segoe UI Symbol" w:cs="Segoe UI Symbol"/>
        </w:rPr>
        <w:t>☐</w:t>
      </w:r>
      <w:r>
        <w:t xml:space="preserve"> Non</w:t>
      </w:r>
    </w:p>
    <w:p w14:paraId="359D862B" w14:textId="77777777" w:rsidR="00E5427C" w:rsidRDefault="007D3957" w:rsidP="00E5427C">
      <w:pPr>
        <w:spacing w:before="120" w:after="0"/>
        <w:jc w:val="both"/>
      </w:pPr>
      <w:sdt>
        <w:sdtPr>
          <w:id w:val="3108282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2D95">
            <w:rPr>
              <w:rFonts w:ascii="MS Gothic" w:eastAsia="MS Gothic" w:hAnsi="MS Gothic" w:hint="eastAsia"/>
            </w:rPr>
            <w:t>☒</w:t>
          </w:r>
        </w:sdtContent>
      </w:sdt>
      <w:r w:rsidR="00E5427C">
        <w:tab/>
        <w:t>Le marché public comprend une clause sociale comme condition d’exécution</w:t>
      </w:r>
    </w:p>
    <w:p w14:paraId="7730EC45" w14:textId="77777777" w:rsidR="00E5427C" w:rsidRDefault="00C62D95" w:rsidP="00C62D95">
      <w:pPr>
        <w:tabs>
          <w:tab w:val="left" w:pos="1276"/>
        </w:tabs>
        <w:spacing w:before="120" w:after="0"/>
        <w:ind w:left="709"/>
        <w:jc w:val="both"/>
      </w:pPr>
      <w:r w:rsidRPr="00C62D95">
        <w:rPr>
          <w:rFonts w:ascii="Segoe UI Symbol" w:hAnsi="Segoe UI Symbol" w:cs="Segoe UI Symbol"/>
        </w:rPr>
        <w:t>☒</w:t>
      </w:r>
      <w:r w:rsidRPr="00C62D95">
        <w:tab/>
      </w:r>
      <w:r>
        <w:t>Autre(s) clause(s) sociale(s)</w:t>
      </w:r>
    </w:p>
    <w:p w14:paraId="2AE50C4D" w14:textId="77777777" w:rsidR="002D7455" w:rsidRPr="00C62D95" w:rsidRDefault="002D7455" w:rsidP="00DF1904">
      <w:pPr>
        <w:spacing w:before="120" w:after="0"/>
        <w:jc w:val="both"/>
        <w:rPr>
          <w:u w:val="single"/>
        </w:rPr>
      </w:pPr>
      <w:r w:rsidRPr="00C62D95">
        <w:rPr>
          <w:u w:val="single"/>
        </w:rPr>
        <w:t>Dans le SI ALPHA</w:t>
      </w:r>
    </w:p>
    <w:p w14:paraId="4CD6E6F5" w14:textId="76E6A842" w:rsidR="00497E11" w:rsidRPr="007C299F" w:rsidRDefault="002D7455" w:rsidP="00FB6BB5">
      <w:pPr>
        <w:spacing w:before="120"/>
        <w:jc w:val="both"/>
      </w:pPr>
      <w:r w:rsidRPr="007C299F">
        <w:t>La saisie du dispositif social du militaire blessé s’effectue en amont de la publication du marché au niveau de l’étape « élaboration FDC/DCE » et de l’onglet « fiche de démarche contractuelle » du dossier d’affaire (DAF). Dans le champ clauses sociale</w:t>
      </w:r>
      <w:r w:rsidR="00571EB0">
        <w:t>s</w:t>
      </w:r>
      <w:r w:rsidRPr="007C299F">
        <w:t xml:space="preserve"> spécifiques, l’acheteur coche la case « clause du blessé ».</w:t>
      </w:r>
    </w:p>
    <w:sectPr w:rsidR="00497E11" w:rsidRPr="007C2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C76FA" w14:textId="77777777" w:rsidR="007D3957" w:rsidRDefault="007D3957" w:rsidP="007E6397">
      <w:pPr>
        <w:spacing w:after="0" w:line="240" w:lineRule="auto"/>
      </w:pPr>
      <w:r>
        <w:separator/>
      </w:r>
    </w:p>
  </w:endnote>
  <w:endnote w:type="continuationSeparator" w:id="0">
    <w:p w14:paraId="0F985FEA" w14:textId="77777777" w:rsidR="007D3957" w:rsidRDefault="007D3957" w:rsidP="007E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E6475" w14:textId="77777777" w:rsidR="007D3957" w:rsidRDefault="007D3957" w:rsidP="007E6397">
      <w:pPr>
        <w:spacing w:after="0" w:line="240" w:lineRule="auto"/>
      </w:pPr>
      <w:r>
        <w:separator/>
      </w:r>
    </w:p>
  </w:footnote>
  <w:footnote w:type="continuationSeparator" w:id="0">
    <w:p w14:paraId="361FCCF3" w14:textId="77777777" w:rsidR="007D3957" w:rsidRDefault="007D3957" w:rsidP="007E6397">
      <w:pPr>
        <w:spacing w:after="0" w:line="240" w:lineRule="auto"/>
      </w:pPr>
      <w:r>
        <w:continuationSeparator/>
      </w:r>
    </w:p>
  </w:footnote>
  <w:footnote w:id="1">
    <w:p w14:paraId="268D3A68" w14:textId="032D5801" w:rsidR="007E6397" w:rsidRDefault="007E639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7E6397">
          <w:rPr>
            <w:rStyle w:val="Lienhypertexte"/>
            <w:sz w:val="16"/>
            <w:szCs w:val="16"/>
          </w:rPr>
          <w:t>Article L. 2112-2-1 du code de la commande publique</w:t>
        </w:r>
      </w:hyperlink>
      <w:r w:rsidRPr="007E6397">
        <w:rPr>
          <w:sz w:val="16"/>
          <w:szCs w:val="16"/>
        </w:rPr>
        <w:t xml:space="preserve"> à venir - entrée en vigueur prévue le 22 août 2026 au plus tard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BFC"/>
    <w:multiLevelType w:val="hybridMultilevel"/>
    <w:tmpl w:val="8C9EF590"/>
    <w:lvl w:ilvl="0" w:tplc="E0969B7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71039"/>
    <w:multiLevelType w:val="hybridMultilevel"/>
    <w:tmpl w:val="9E047F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A2E8C"/>
    <w:multiLevelType w:val="hybridMultilevel"/>
    <w:tmpl w:val="FBD4A622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6BD748B"/>
    <w:multiLevelType w:val="hybridMultilevel"/>
    <w:tmpl w:val="B64643D0"/>
    <w:lvl w:ilvl="0" w:tplc="E0969B7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B1464"/>
    <w:multiLevelType w:val="hybridMultilevel"/>
    <w:tmpl w:val="FAD6865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0AC2585"/>
    <w:multiLevelType w:val="hybridMultilevel"/>
    <w:tmpl w:val="0D7CA1B6"/>
    <w:lvl w:ilvl="0" w:tplc="D876C0B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6496A"/>
    <w:multiLevelType w:val="hybridMultilevel"/>
    <w:tmpl w:val="65F4A1F0"/>
    <w:lvl w:ilvl="0" w:tplc="0AFA70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A507D"/>
    <w:multiLevelType w:val="hybridMultilevel"/>
    <w:tmpl w:val="2062B624"/>
    <w:lvl w:ilvl="0" w:tplc="9D7AE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D45FB"/>
    <w:multiLevelType w:val="hybridMultilevel"/>
    <w:tmpl w:val="D78EF8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11"/>
    <w:rsid w:val="00047D31"/>
    <w:rsid w:val="000770E2"/>
    <w:rsid w:val="000C6D8A"/>
    <w:rsid w:val="000E6CC4"/>
    <w:rsid w:val="000F2F6C"/>
    <w:rsid w:val="00101C35"/>
    <w:rsid w:val="00287B93"/>
    <w:rsid w:val="002D7455"/>
    <w:rsid w:val="00381A33"/>
    <w:rsid w:val="003B0073"/>
    <w:rsid w:val="003D1F35"/>
    <w:rsid w:val="00456449"/>
    <w:rsid w:val="00473897"/>
    <w:rsid w:val="00482B4E"/>
    <w:rsid w:val="00497E11"/>
    <w:rsid w:val="004C6BFB"/>
    <w:rsid w:val="00571EB0"/>
    <w:rsid w:val="00580BC9"/>
    <w:rsid w:val="005C1083"/>
    <w:rsid w:val="005D0598"/>
    <w:rsid w:val="005D7A8E"/>
    <w:rsid w:val="005F0049"/>
    <w:rsid w:val="00613432"/>
    <w:rsid w:val="00617F1E"/>
    <w:rsid w:val="00663725"/>
    <w:rsid w:val="00673EB2"/>
    <w:rsid w:val="00682C80"/>
    <w:rsid w:val="006D638D"/>
    <w:rsid w:val="007505D1"/>
    <w:rsid w:val="007833C7"/>
    <w:rsid w:val="007C299F"/>
    <w:rsid w:val="007D3957"/>
    <w:rsid w:val="007E6397"/>
    <w:rsid w:val="00807210"/>
    <w:rsid w:val="008E2C27"/>
    <w:rsid w:val="00906FB3"/>
    <w:rsid w:val="00946754"/>
    <w:rsid w:val="00A25F54"/>
    <w:rsid w:val="00A32017"/>
    <w:rsid w:val="00A83036"/>
    <w:rsid w:val="00AC1707"/>
    <w:rsid w:val="00AF22AD"/>
    <w:rsid w:val="00B36013"/>
    <w:rsid w:val="00B556FF"/>
    <w:rsid w:val="00B8478F"/>
    <w:rsid w:val="00B85D66"/>
    <w:rsid w:val="00BA7876"/>
    <w:rsid w:val="00BD5135"/>
    <w:rsid w:val="00C53F7C"/>
    <w:rsid w:val="00C619A6"/>
    <w:rsid w:val="00C62D95"/>
    <w:rsid w:val="00CF057A"/>
    <w:rsid w:val="00D047CA"/>
    <w:rsid w:val="00D91C51"/>
    <w:rsid w:val="00DE3A80"/>
    <w:rsid w:val="00DF1904"/>
    <w:rsid w:val="00E40CC6"/>
    <w:rsid w:val="00E5427C"/>
    <w:rsid w:val="00E71826"/>
    <w:rsid w:val="00FB3F7B"/>
    <w:rsid w:val="00FB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0A56"/>
  <w15:chartTrackingRefBased/>
  <w15:docId w15:val="{C789EEB3-CC64-4E2B-839C-989497C4B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97E11"/>
    <w:rPr>
      <w:color w:val="0563C1" w:themeColor="hyperlink"/>
      <w:u w:val="single"/>
    </w:rPr>
  </w:style>
  <w:style w:type="paragraph" w:styleId="Corpsdetexte">
    <w:name w:val="Body Text"/>
    <w:basedOn w:val="Normal"/>
    <w:link w:val="CorpsdetexteCar"/>
    <w:rsid w:val="00497E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97E11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62D9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B00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007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007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00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007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0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0073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E639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E639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E6397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0C6D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elie.denis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ga-daf-ma-achats-responsables.contact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hristophe.larcheron@intradef.gouv.fr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gifrance.gouv.fr/codes/article_lc/LEGIARTI000043963290/2022-03-3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DEMETTE Ghislaine ATTACHE PRIN ADMI</dc:creator>
  <cp:keywords/>
  <dc:description/>
  <cp:lastModifiedBy>Léna GODER PFC</cp:lastModifiedBy>
  <cp:revision>7</cp:revision>
  <cp:lastPrinted>2025-06-05T11:29:00Z</cp:lastPrinted>
  <dcterms:created xsi:type="dcterms:W3CDTF">2023-05-25T07:30:00Z</dcterms:created>
  <dcterms:modified xsi:type="dcterms:W3CDTF">2025-07-03T06:17:00Z</dcterms:modified>
</cp:coreProperties>
</file>